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lineRule="auto" w:line="360" w:before="0" w:afterAutospacing="0" w:after="0"/>
        <w:ind w:left="708" w:hanging="0"/>
        <w:jc w:val="both"/>
        <w:rPr>
          <w:b/>
          <w:b/>
          <w:color w:val="000000"/>
        </w:rPr>
      </w:pPr>
      <w:bookmarkStart w:id="0" w:name="_Toc467377103"/>
      <w:r>
        <w:rPr>
          <w:b/>
          <w:color w:val="000000"/>
        </w:rPr>
        <w:t>Załącznik nr 7 do Polityki bezpieczeństwa - Regulamin Ochrony Danych Osobowych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jc w:val="both"/>
        <w:rPr/>
      </w:pPr>
      <w:r>
        <w:rPr/>
      </w:r>
      <w:bookmarkStart w:id="1" w:name="_GoBack"/>
      <w:bookmarkStart w:id="2" w:name="_GoBack"/>
      <w:bookmarkEnd w:id="2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 regulamin stanowi wykaz podstawowych obowiązków z zakresu przestrzegania zasad ochrony danych osobowych zgodnie z przepisami RODO dla: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Pracowników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Współpracowników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Pracowników podmiotów trzecich, posiadających dostęp do danych osobowych przetwarzanych przez Administratora / Podmiot przetwarzający</w:t>
      </w:r>
    </w:p>
    <w:p>
      <w:pPr>
        <w:pStyle w:val="ListParagraph"/>
        <w:numPr>
          <w:ilvl w:val="0"/>
          <w:numId w:val="12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Użytkowników systemów informatycznych z dostępem do danych osobowych przetwarzanych przez Administratora / Podmiot przetwarzający</w:t>
      </w:r>
    </w:p>
    <w:p>
      <w:pPr>
        <w:pStyle w:val="Nagwek1"/>
        <w:numPr>
          <w:ilvl w:val="0"/>
          <w:numId w:val="2"/>
        </w:numPr>
        <w:pBdr>
          <w:bottom w:val="single" w:sz="4" w:space="2" w:color="595959"/>
        </w:pBd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07323249"/>
      <w:bookmarkStart w:id="4" w:name="_Toc182391144"/>
      <w:r>
        <w:rPr>
          <w:rFonts w:cs="Times New Roman" w:ascii="Times New Roman" w:hAnsi="Times New Roman"/>
          <w:sz w:val="24"/>
          <w:szCs w:val="24"/>
        </w:rPr>
        <w:t xml:space="preserve">Zasady bezpiecznego użytkowania sprzętu </w:t>
      </w:r>
      <w:bookmarkEnd w:id="4"/>
      <w:r>
        <w:rPr>
          <w:rFonts w:cs="Times New Roman" w:ascii="Times New Roman" w:hAnsi="Times New Roman"/>
          <w:sz w:val="24"/>
          <w:szCs w:val="24"/>
        </w:rPr>
        <w:t>IT, dysków, programów</w:t>
      </w:r>
      <w:bookmarkEnd w:id="3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użytkownik przetwarzający dane osobowe korzysta ze sprzętu IT zobowiązany jest do jego zabezpieczenia przed zniszczeniem lub uszkodzeniem. Za sprzęt IT rozumie się: komputery stacjonarne, monitory, drukarki, skanery, ksera, laptopy, służbowe tablety i smartfony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jest zobowiązany  zgłosić zagubienie, utratę lub zniszczenie powierzonego mu Sprzętu IT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Samowolne instalowanie otwieranie (demontaż) Sprzętu IT, instalowanie dodatkowych urządzeń (np. twardych dysków, pamięci) do lub podłączanie jakichkolwiek niezatwierdzonych urządzeń do systemu informatycznego jest zabronione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jest zobowiązany do usuwania plików z nośników/dysków do których mają dostęp inni użytkownicy nieupoważnieni do dostępu do takich plików (np. podczas współużytkowania komputerów)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jest zobowiązany do przekazania informatykowi nośników przeznaczonych do zniszczenia</w:t>
      </w:r>
    </w:p>
    <w:p>
      <w:pPr>
        <w:pStyle w:val="Normal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komputerów przenośnych na których znajdują się dane osobowe lub z dostępem do danych osobowych przez Internet zobowiązani są do stosowania zasad bezpieczeństwa zawartych w Regulaminie użytkowania komputerów przenośnych</w:t>
      </w:r>
    </w:p>
    <w:p>
      <w:pPr>
        <w:pStyle w:val="Nagwek1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Toc507323250"/>
      <w:r>
        <w:rPr>
          <w:rFonts w:cs="Times New Roman" w:ascii="Times New Roman" w:hAnsi="Times New Roman"/>
          <w:sz w:val="24"/>
          <w:szCs w:val="24"/>
        </w:rPr>
        <w:t>Zarządzanie uprawnieniami - procedura rozpoczęcia, zawieszenia i zakończenia pracy</w:t>
      </w:r>
      <w:bookmarkEnd w:id="5"/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użytkownik (np. komputera stacjonarnego, laptopa, dysku sieciowego, programów w których użytkownik pracuje, poczty elektronicznej) musi posiadać swój własny indywidualny identyfikator (login) do logowania się.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Tworzenie kont użytkowników wraz z uprawnieniami (np. komputera stacjonarnego, laptopa, dysku sieciowego, programów w których użytkownik pracuje, poczty elektronicznej) odbywa się na polecenie przełożonych a wykonywane przez informatyków-administratorów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nie może samodzielnie zmieniać swoich uprawnień (np. zostać administratorem Windows na swoim komputerze)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Każdy użytkownik musi posiadać indywidualny identyfikator. Zabronione jest umożliwianie innym osobom pracy na koncie innego użytkownika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95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pracy wielu użytkowników na wspólnym koncie.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5954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(np. komputera stacjonarnego, laptopa, dysku sieciowego, programów w których użytkownik pracuje, poczty elektronicznej) rozpoczyna pracę z użyciem identyfikatora i hasła.</w:t>
      </w:r>
    </w:p>
    <w:p>
      <w:pPr>
        <w:pStyle w:val="ListParagraph"/>
        <w:numPr>
          <w:ilvl w:val="0"/>
          <w:numId w:val="1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jest zobowiązany do powiadomienia informatyków-administratorów o próbach logowania się do systemu osoby nieupoważnionej, jeśli system to sygnalizuje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użytkownik podczas próby zalogowania się zablokuje system, zobowiązany jest powiadomić o tym informatyków-administratorów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jest zobowiązany do uniemożliwienia osobom niepowołanym (np. klientom, pracownikom innych działów) wglądu do danych wyświetlanych na monitorach – tzw. Polityka czystego ekranu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 czasowym opuszczeniem stanowiska pracy, użytkownik zobowiązany jest wywołać blokowany hasłem wygaszacz ekranu  lub wylogować się z systemu bądź z programu. 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1080" w:leader="none"/>
        </w:tabs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uruchamiania jakiejkolwiek aplikacji lub programu na prośbę innej osoby, o ile nie została ona zweryfikowana jako pracownik działu informatyki. Dotyczy to zwłaszcza programów przesłanych za pomocą poczty elektronicznej lub wskazanych w formie odnośnika internetowego.</w:t>
      </w:r>
    </w:p>
    <w:p>
      <w:pPr>
        <w:pStyle w:val="Normal"/>
        <w:numPr>
          <w:ilvl w:val="0"/>
          <w:numId w:val="1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 zakończeniu pracy, użytkownik zobowiązany jest: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wylogować się z systemu informatycznego, a następnie wyłączyć sprzęt komputerowy</w:t>
      </w:r>
    </w:p>
    <w:p>
      <w:pPr>
        <w:pStyle w:val="Normal"/>
        <w:numPr>
          <w:ilvl w:val="0"/>
          <w:numId w:val="15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zabezpieczyć stanowisko pracy, w szczególności wszelką dokumentację oraz nośniki elektroniczne, magnetyczne i optyczne, na których znajdują się dane osobowe</w:t>
      </w:r>
    </w:p>
    <w:p>
      <w:pPr>
        <w:pStyle w:val="Nagwek1"/>
        <w:numPr>
          <w:ilvl w:val="0"/>
          <w:numId w:val="2"/>
        </w:numP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07323251"/>
      <w:r>
        <w:rPr>
          <w:rFonts w:cs="Times New Roman" w:ascii="Times New Roman" w:hAnsi="Times New Roman"/>
          <w:sz w:val="24"/>
          <w:szCs w:val="24"/>
        </w:rPr>
        <w:t>Polityka haseł</w:t>
      </w:r>
      <w:bookmarkEnd w:id="6"/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 xml:space="preserve">Hasła powinny składać się z np. 8 znaków 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Hasła powinny zawierać duże litery + małe litery + cyfry (lub znaki specjalne)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Hasła nie mogą być łatwe do odgadnięcia. Nie powinny być powszechnie używanymi słowami. W szczególności nie należy jako haseł wykorzystywać: dat, imion i nazwisk osób bliskich, imion zwierząt, popularnych dat, popularnych słów, typowych zestawów: 123456, qwerty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Hasła nie powinny być ujawnianie innym osobom. Nie należy zapisywać haseł na kartkach i w notesach, nie naklejać na monitorze komputera, nie trzymać pod klawiaturą lub w szufladzie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W przypadku ujawnienia hasła – należy natychmiast go zmienić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Hasła muszą być zmieniane co 90</w:t>
      </w:r>
      <w:r>
        <w:rPr>
          <w:color w:val="FF0000"/>
        </w:rPr>
        <w:t xml:space="preserve"> </w:t>
      </w:r>
      <w:r>
        <w:rPr/>
        <w:t>dni</w:t>
      </w:r>
    </w:p>
    <w:p>
      <w:pPr>
        <w:pStyle w:val="Srodkiochpkt"/>
        <w:numPr>
          <w:ilvl w:val="0"/>
          <w:numId w:val="7"/>
        </w:numPr>
        <w:tabs>
          <w:tab w:val="left" w:pos="708" w:leader="none"/>
        </w:tabs>
        <w:spacing w:lineRule="auto" w:line="360" w:before="280" w:afterAutospacing="0" w:after="0"/>
        <w:jc w:val="both"/>
        <w:rPr/>
      </w:pPr>
      <w:r>
        <w:rPr/>
        <w:t>Jeżeli system nie wymusza zmiany haseł, użytkownik zobowiązany jest do samodzielnej zmiany hasła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systemu w trakcie pracy w aplikacji może zmienić swoje hasło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zobowiązuje się do zachowania hasła w poufności, nawet po utracie przez nie ważności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używania w serwisach internetowych takich samych lub podobnych haseł jak w systemie komputerowym organizacji</w:t>
      </w:r>
    </w:p>
    <w:p>
      <w:pPr>
        <w:pStyle w:val="Normal"/>
        <w:numPr>
          <w:ilvl w:val="0"/>
          <w:numId w:val="7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stosowania tego samego hasła jako zabezpieczenia w dostępie do różnych systemów.</w:t>
      </w:r>
    </w:p>
    <w:p>
      <w:pPr>
        <w:pStyle w:val="Normal"/>
        <w:numPr>
          <w:ilvl w:val="0"/>
          <w:numId w:val="7"/>
        </w:numPr>
        <w:spacing w:lineRule="auto" w:line="360" w:before="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definiowania haseł, w których jeden człon pozostaje niezmienny, a drugi zmienia się według przewidywalnego wzorca (np. Anna001, Anna002, Anna003 itd.). Nie powinno się też stosować haseł, w których któryś z członów stanowi imię, nazwę lub numer miesiąca lub inny możliwy do odgadnięcia klucz.</w:t>
      </w:r>
    </w:p>
    <w:p>
      <w:pPr>
        <w:pStyle w:val="Nagwek1"/>
        <w:numPr>
          <w:ilvl w:val="0"/>
          <w:numId w:val="2"/>
        </w:numP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507323252"/>
      <w:r>
        <w:rPr>
          <w:rFonts w:cs="Times New Roman" w:ascii="Times New Roman" w:hAnsi="Times New Roman"/>
          <w:sz w:val="24"/>
          <w:szCs w:val="24"/>
        </w:rPr>
        <w:t>Zabezpieczenie dokumentacji papierowej z danymi osobowymi</w:t>
      </w:r>
      <w:bookmarkEnd w:id="7"/>
    </w:p>
    <w:p>
      <w:pPr>
        <w:pStyle w:val="Normal"/>
        <w:numPr>
          <w:ilvl w:val="0"/>
          <w:numId w:val="9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Upoważnieni pracownicy są zobowiązani do stosowania tzw. „</w:t>
      </w:r>
      <w:r>
        <w:rPr>
          <w:rFonts w:cs="Times New Roman" w:ascii="Times New Roman" w:hAnsi="Times New Roman"/>
          <w:b/>
          <w:sz w:val="24"/>
          <w:szCs w:val="24"/>
        </w:rPr>
        <w:t>Polityki czystego biurka</w:t>
      </w:r>
      <w:r>
        <w:rPr>
          <w:rFonts w:cs="Times New Roman" w:ascii="Times New Roman" w:hAnsi="Times New Roman"/>
          <w:sz w:val="24"/>
          <w:szCs w:val="24"/>
        </w:rPr>
        <w:t xml:space="preserve">”. Polega ona na zabezpieczaniu (zamykaniu) dokumentów oraz nośników np. w szafach, biurkach, pomieszczeniach przed kradzieżą lub wglądem osób nieupoważnionych po godzinach pracy lub podczas ich nieobecności w trakcie godzin pracy.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Upoważnieni pracownicy zobowiązani są do niszczenia dokumentów i wydruków w niszczarkach lub utylizacji ich w specjalnych bezpiecznych pojemnikach z przeznaczeniem do bezpiecznej utylizacji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pozostawiania dokumentów z danymi osobowymi poza zabezpieczonymi pomieszczeniami, np.  w korytarzach, na kserokopiarkach, drukarkach, w pomieszczeniach konferencyjnych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wyrzucania niezniszczonych dokumentów na śmietnik lub porzucania ich na zewnątrz, np., na terenach publicznych miejskich lub w lesie.</w:t>
      </w:r>
    </w:p>
    <w:p>
      <w:pPr>
        <w:pStyle w:val="Nagwek1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507323253"/>
      <w:r>
        <w:rPr>
          <w:rFonts w:cs="Times New Roman" w:ascii="Times New Roman" w:hAnsi="Times New Roman"/>
          <w:sz w:val="24"/>
          <w:szCs w:val="24"/>
        </w:rPr>
        <w:t>Zasady wynoszenia nośników z danymi poza firmę/organizację</w:t>
      </w:r>
      <w:bookmarkEnd w:id="8"/>
    </w:p>
    <w:p>
      <w:pPr>
        <w:pStyle w:val="Normal"/>
        <w:numPr>
          <w:ilvl w:val="0"/>
          <w:numId w:val="8"/>
        </w:numPr>
        <w:spacing w:lineRule="auto" w:line="36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nie mogą wynosić na zewnątrz organizacji wymiennych elektronicznych nośników informacji z zapisanymi danymi osobowymi bez zgody Pracodawcy / Zleceniodawcy. Do takich nośników zalicz się:  wymienne twarde dyski, pen-drive, płyty CD, DVD, pamięci typu Flash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osobowe wynoszone poza organizację muszą być zaszyfrowane (szyfrowane dyski, zahasłowane pliki)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zapewnić bezpieczne przewożenie dokumentacji papierowej w plecakach, teczkach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Należy korzystać ze sprawdzonych firm kurierskich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dokumenty przewozi pracownik, zobowiązany jest do zabezpieczenia przewożonych dokumentów przed zagubieniem i kradzieżą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wynoszenia poza obszar organizacji wymiennych nośników informacji a w szczególności twardych dysków z zapisanymi danymi osobowymi i pendrive bez zgody ADO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osobowe wynoszone poza obszar dokumentacji na nośnikach elektronicznych muszą być zaszyfrowane </w:t>
      </w:r>
    </w:p>
    <w:p>
      <w:pPr>
        <w:pStyle w:val="Normal"/>
        <w:numPr>
          <w:ilvl w:val="0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sytuacji przekazywania nośników z danymi osobowymi poza obszar organizacji można stosować następujące zasady bezpieczeństwa: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adresat powinien zostać powiadomiony o przesyłce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dane przed wysłaniem powinny zostać zaszyfrowane a hasło podane adresatowi inną drogą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stosować bezpieczne koperty depozytowe</w:t>
      </w:r>
    </w:p>
    <w:p>
      <w:pPr>
        <w:pStyle w:val="Normal"/>
        <w:numPr>
          <w:ilvl w:val="1"/>
          <w:numId w:val="8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przesyłkę należy przesyłać przez kuriera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0"/>
          <w:numId w:val="2"/>
        </w:numP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507323254"/>
      <w:r>
        <w:rPr>
          <w:rFonts w:cs="Times New Roman" w:ascii="Times New Roman" w:hAnsi="Times New Roman"/>
          <w:sz w:val="24"/>
          <w:szCs w:val="24"/>
        </w:rPr>
        <w:t>Zasady korzystania z internetu</w:t>
      </w:r>
      <w:bookmarkEnd w:id="9"/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zobowiązany jest do korzystania z internetu wyłącznie w celach służbowych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zgrywania na dysk twardy komputera oraz uruchamia jakichkolwiek programów nielegalnych oraz plików pobranych z niewiadomego źródła. Pliki takie powinny być ściągane tylko za każdorazową zgodą osoby upoważnionej do administrowania infrastrukturą IT (np. Administratora Sieci Informatycznej) i tylko w uzasadnionych przypadkach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ponosi odpowiedzialność za szkody spowodowane przez oprogramowanie instalowane z Internetu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wchodzenia na strony, na których prezentowane są informacje o charakterze przestępczym, hackerskim, pornograficznym, lub innym zakazanym przez prawo (na większości stron tego typu jest zainstalowane szkodliwe oprogramowanie infekujące w sposób automatyczny system operacyjny komputera szkodliwym oprogramowaniem)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należy w opcjach przeglądarki internetowej włączać opcji autouzupełniania formularzy i zapamiętywania haseł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Należy zachować szczególną ostrożność w przypadku podejrzanego żądania lub prośby zalogowania się na stronę (np. na stronę banku, portalu społecznościowego, e-sklepu, poczty mailowej) lub podania naszych loginów i haseł, PIN-ów, numerów kart płatniczych przez Internet. Szczególnie tyczy się to żądania podania takich informacji przez rzekomy bank.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samowolnego podłączania do komputerów modemów, telefonów komórkowych i innych urządzeń dostępowych (np.: typu BlueConnect, iPlus, OrangeGo). Zabronione jest też łączenie się przy pomocy takich urządzeń z Internetem w chwili, gdy komputer użytkownika podłączony jest do sieci.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agwek1"/>
        <w:numPr>
          <w:ilvl w:val="0"/>
          <w:numId w:val="2"/>
        </w:numP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507323255"/>
      <w:r>
        <w:rPr>
          <w:rFonts w:cs="Times New Roman" w:ascii="Times New Roman" w:hAnsi="Times New Roman"/>
          <w:sz w:val="24"/>
          <w:szCs w:val="24"/>
        </w:rPr>
        <w:t>Zasady korzystania z poczty elektronicznej</w:t>
      </w:r>
      <w:bookmarkEnd w:id="10"/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Przesyłanie danych osobowych z użyciem maila poza organizację może odbywać się tylko przez osoby do tego upoważnione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 przesyłania danych osobowych poza organizację należy wysyłać pliki  zaszyfrowane/spakowane (np. programem 7 zip, i zaszyfrowane , gdzie hasło powinno być przesłane do odbiorcy telefonicznie lub SMS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zabezpieczenia plików hasłem, obowiązuje minimum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8 </w:t>
      </w:r>
      <w:r>
        <w:rPr>
          <w:rFonts w:cs="Times New Roman" w:ascii="Times New Roman" w:hAnsi="Times New Roman"/>
          <w:sz w:val="24"/>
          <w:szCs w:val="24"/>
        </w:rPr>
        <w:t>znaków: duże i małe litery i cyfry lub znaki specjalne a hasło należy przesłać odrębnym  mailem lub inną metodą, np. telefonicznie lub SMS-em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powinni zwracać szczególną uwagę na poprawność adresu odbiorcy dokumentu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Zaleca się, aby użytkownik podczas przesyłania danych osobowych mailem zawarł w treści prośbę o potwierdzenie otrzymania i zapoznania się z informacją przez adresata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 należy otwierać załączników (.zip, .xlsm, .pdf, .exe) w mailach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 wolno „klikać” na hiperlinki w mailach, gdyż mogą to być hiperlinki do stron z „wirusami”.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Należy zgłaszać niezwłocznie informatykowi przypadki podejrzanych e-maili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nie powinni rozsyłać „niezawodowych” emaili  w formie „łańcuszków szczęścia", np. Życzenia Świąteczne adresowane do 230 osób.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Podczas wysyłania maili do wielu adresatów jednocześnie, należy użyć  metody „Ukryte do wiadomości – UDW”. Zabronione jest rozsyłanie maili do wielu adresatów z użyciem opcji „Do wiadomości”!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powinni okresowo kasować niepotrzebne maile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 pocztowe służbowe są odseparowane od poczty prywatnej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Mail służbowy jest przeznaczony wyłącznie do wykonywania obowiązków służbowych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Zakazuje się wysyłania korespondencji służbowej na prywatne skrzynki pocztowe pracowników lub innych osób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mają prawo korzystać z poczty mailowej dla celów prywatnych wyłącznie okazjonalnie i powinno być to ograniczone do niezbędnego minimum.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Zabrania się użytkownikom poczty elektronicznej konfigurowania swoich kont pocztowych do automatycznego przekierowywania wiadomości na adres zewnętrzny. 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Korzystanie z maila dla celów prywatnych nie może wpływać na jakość i ilość świadczonej przez Użytkownika pracy oraz na prawidłowe i rzetelne wykonywanie przez niego obowiązków służbowych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 korzystaniu z maila, Użytkownicy mają obowiązek przestrzegać prawa własności przemysłowej i prawa autorskiego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Użytkownicy nie mają prawa korzystać z maila w celu rozpowszechniania treści o charakterze obraźliwym, niemoralnym lub niestosownym wobec powszechnie obowiązujących zasad postępowania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Użytkownik bez zgody Pracodawcy nie ma prawa wysyłać wiadomości zawierających dane osobowe dotyczące Pracodawcy, jego pracowników, klientów, dostawców lub kontrahentów za pośrednictwem Internetu, w tym przy użyciu prywatnej elektronicznej skrzynki pocztowej</w:t>
      </w:r>
    </w:p>
    <w:p>
      <w:pPr>
        <w:pStyle w:val="Nagwek1"/>
        <w:numPr>
          <w:ilvl w:val="0"/>
          <w:numId w:val="2"/>
        </w:numPr>
        <w:spacing w:lineRule="auto" w:line="360" w:before="36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507323256"/>
      <w:r>
        <w:rPr>
          <w:rFonts w:cs="Times New Roman" w:ascii="Times New Roman" w:hAnsi="Times New Roman"/>
          <w:sz w:val="24"/>
          <w:szCs w:val="24"/>
        </w:rPr>
        <w:t>Ochrona antywirusowa</w:t>
      </w:r>
      <w:bookmarkEnd w:id="11"/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Użytkownicy zobowiązani są do skanowania plików wprowadzanych z  zewnętrznych nośników programem antywirusowym, jeśli system antywirusowy taką funkcje posiada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Zakazane jest  wyłączanie systemu antywirusowego podczas pracy systemu informatycznego przetwarzającego dane osobowe</w:t>
      </w:r>
    </w:p>
    <w:p>
      <w:pPr>
        <w:pStyle w:val="Normal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stwierdzenia zainfekowania systemu lub pojawienia się komunikatów „np.; Twój system jest zainfekowany!, zainstaluj program antywirusowy”, użytkownik obowiązany jest poinformować niezwłocznie o tym fakcie Informatyka lub osobę upoważnioną. </w:t>
      </w:r>
    </w:p>
    <w:p>
      <w:pPr>
        <w:pStyle w:val="Nagwek1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507323257"/>
      <w:r>
        <w:rPr>
          <w:rFonts w:cs="Times New Roman" w:ascii="Times New Roman" w:hAnsi="Times New Roman"/>
          <w:sz w:val="24"/>
          <w:szCs w:val="24"/>
        </w:rPr>
        <w:t>Skrócona instrukcja postępowania w przypadku naruszenia ochrony danych osobowych</w:t>
      </w:r>
      <w:bookmarkEnd w:id="12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osoba upoważniona do przetwarzania danych osobowych zobowiązana jest do powiadomienia Pracodawcy  w przypadku stwierdzenia lub podejrzenia naruszenia ochrony danych osobowych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sytuacji wymagających powiadomienia, należą: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niewłaściwe zabezpieczenie fizyczne pomieszczeń, urządzeń i dokumentów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niewłaściwe zabezpieczenie sprzętu IT, oprogramowania przed wyciekiem, kradzieżą i utratą danych osobowych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nieprzestrzeganie zasad ochrony danych osobowych przez pracowników (np. niestosowanie zasady czystego biurka / ekranu, ochrony haseł, niezamykanie pomieszczeń, szaf, biurek)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incydentów wymagających powiadomienia, należą: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zdarzenia losowe zewnętrzne (pożar obiektu/pomieszczenia, zalanie wodą, utrata zasilania, utrata łączności)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zdarzenia losowe wewnętrzne (awarie serwera, komputerów, twardych dysków, oprogramowania, pomyłki informatyków, użytkowników, utrata / zagubienie danych)</w:t>
      </w:r>
    </w:p>
    <w:p>
      <w:pPr>
        <w:pStyle w:val="ListParagraph"/>
        <w:numPr>
          <w:ilvl w:val="1"/>
          <w:numId w:val="3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umyślne incydenty (włamanie do systemu informatycznego lub pomieszczeń, kradzież danych/sprzętu, wyciek informacji, ujawnienie danych osobom nieupoważnionym, świadome zniszczenie dokumentów/danych, działanie wirusów i innego szkodliwego oprogramowania)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Typowe przykłady incydentów wymagające reakcji: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ślady na drzwiach, oknach i szafach wskazują na próbę włamania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dokumentacja jest niszczona bez użycia niszczarki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fizyczna obecność w budynku lub pomieszczeniach osób zachowujących się podejrzanie 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otwarte drzwi do pomieszczeń, szaf, gdzie przechowywane są dane osobowe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ustawienie monitorów pozwala na wgląd osób postronnych w dane osobowe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wynoszenie danych osobowych w wersji papierowej i elektronicznej na zewnątrz organizacji bez upoważnienia Pracodawcy / Zleceniodawcy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udostępnienie danych osobowych osobom nieupoważnionym w formie papierowej, elektronicznej i ustnej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telefoniczne próby wyłudzenia danych osobowych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kradzież, zagubienie komputerów lub CD, twardych dysków, Pen-drive z danymi osobowymi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maile zachęcające do ujawnienia identyfikatora i/lub hasła,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pojawienie się wirusa komputerowego lub niestandardowe zachowanie komputerów</w:t>
      </w:r>
    </w:p>
    <w:p>
      <w:pPr>
        <w:pStyle w:val="Normal"/>
        <w:numPr>
          <w:ilvl w:val="1"/>
          <w:numId w:val="3"/>
        </w:numPr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hasła do systemów przyklejone są w pobliżu komputera </w:t>
      </w:r>
    </w:p>
    <w:p>
      <w:pPr>
        <w:pStyle w:val="Nagwek1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507323258"/>
      <w:r>
        <w:rPr>
          <w:rFonts w:cs="Times New Roman" w:ascii="Times New Roman" w:hAnsi="Times New Roman"/>
          <w:sz w:val="24"/>
          <w:szCs w:val="24"/>
        </w:rPr>
        <w:t>Obowiązek zachowania poufności i ochrony danych osobowych</w:t>
      </w:r>
      <w:bookmarkEnd w:id="13"/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z osób dopuszczona do przetwarzania danych osobowych jest zobowiązana do: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przetwarzania danych osobowych wyłącznie w zakresie i celu przewidzianym w powierzonych przez Pracodawcę / Zleceniodawcę zadaniach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zachowania w tajemnicy danych osobowych do których ma dostęp w związku z wykonywaniem zadań powierzonych przez Pracodawcę / Zleceniodawcę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niewykorzystywania danych osobowych w celach niezgodnych z zakresem i celem powierzonych zadań przez Pracodawcę / Zleceniodawcę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zachowania w tajemnicy sposobów zabezpieczenia danych osobowych</w:t>
      </w:r>
    </w:p>
    <w:p>
      <w:pPr>
        <w:pStyle w:val="ListParagraph"/>
        <w:numPr>
          <w:ilvl w:val="1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ochrony danych osobowych przed przypadkowym lub niezgodnym z prawem zniszczeniem, utratą, modyfikacją danych osobowych, nieuprawnionym ujawnieniem danych osobowych, nieuprawnionym dostępem do danych osobowych oraz przetwarzaniem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Jeśli jest to przewidziane, osoba dopuszczona do przetwarzania odbywa szkolenie z zasad ochrony danych osobowych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Osoby zapoznane z treścią niniejszego Regulaminu ODO lub przeszkolone zobowiązane są  podpisać Oświadczenie o poufności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przekazywania bezpośrednio lub przez telefon danych osobowych osobom nieupoważnionym lub osobom których tożsamości nie można zweryfikować lub osobom podszywającym się pod kogoś innego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Zabrania się przekazywania lub ujawniania danych osobom lub instytucjom, które nie mogą wykazać się jasną podstawą prawną do dostępu do takich danych</w:t>
      </w:r>
    </w:p>
    <w:p>
      <w:pPr>
        <w:pStyle w:val="ListParagraph"/>
        <w:numPr>
          <w:ilvl w:val="0"/>
          <w:numId w:val="14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Zabrania się ujawniania na grupach dyskusyjnych, forach internetowych, blogach itp. jakichkolwiek szczegółów dotyczących funkcjonowania organizacji, w tym informacji na temat sprzętu i oprogramowania, z jakiego korzysta organizacja, oraz informacji kontaktowych innych, niż ogólnodostępne w materiałach zewnętrznych. </w:t>
      </w:r>
    </w:p>
    <w:p>
      <w:pPr>
        <w:pStyle w:val="Nagwek1"/>
        <w:numPr>
          <w:ilvl w:val="0"/>
          <w:numId w:val="2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507323259"/>
      <w:r>
        <w:rPr>
          <w:rFonts w:cs="Times New Roman" w:ascii="Times New Roman" w:hAnsi="Times New Roman"/>
          <w:sz w:val="24"/>
          <w:szCs w:val="24"/>
        </w:rPr>
        <w:t>Postępowanie dyscyplinarne</w:t>
      </w:r>
      <w:bookmarkEnd w:id="14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Toc467377103"/>
      <w:r>
        <w:rPr>
          <w:rFonts w:cs="Times New Roman" w:ascii="Times New Roman" w:hAnsi="Times New Roman"/>
          <w:sz w:val="24"/>
          <w:szCs w:val="24"/>
        </w:rPr>
        <w:t>Przypadki nieuzasadnionego zaniechania obowiązków wynikających z niniejszego dokumentu potraktowane będą jako ciężkie naruszenie obowiązków pracowniczyc</w:t>
      </w:r>
      <w:bookmarkEnd w:id="15"/>
      <w:r>
        <w:rPr>
          <w:rFonts w:cs="Times New Roman" w:ascii="Times New Roman" w:hAnsi="Times New Roman"/>
          <w:sz w:val="24"/>
          <w:szCs w:val="24"/>
        </w:rPr>
        <w:t>h  lub naruszenie zasad współpracy</w:t>
      </w:r>
    </w:p>
    <w:p>
      <w:pPr>
        <w:pStyle w:val="Normal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Postępowanie sprzeczne z powyższymi zobowiązaniami, może też być uznane przez Pracodawcę / Zleceniodawcę za naruszenie przepisów karnych zawartych w ogólnym Rozporządzeniu o ochronie danych UE z dnia 27 kwietnia 2016 r.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964" w:right="991" w:header="0" w:top="284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607341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"/>
      <w:lvlJc w:val="left"/>
      <w:pPr>
        <w:ind w:left="432" w:hanging="432"/>
      </w:pPr>
    </w:lvl>
    <w:lvl w:ilvl="1">
      <w:start w:val="1"/>
      <w:pStyle w:val="Nagwek2"/>
      <w:numFmt w:val="decimal"/>
      <w:lvlText w:val="%1.%2"/>
      <w:lvlJc w:val="left"/>
      <w:pPr>
        <w:ind w:left="576" w:hanging="576"/>
      </w:pPr>
    </w:lvl>
    <w:lvl w:ilvl="2">
      <w:start w:val="1"/>
      <w:pStyle w:val="Nagwek3"/>
      <w:numFmt w:val="decimal"/>
      <w:lvlText w:val="%1.%2.%3"/>
      <w:lvlJc w:val="left"/>
      <w:pPr>
        <w:ind w:left="720" w:hanging="720"/>
      </w:pPr>
    </w:lvl>
    <w:lvl w:ilvl="3">
      <w:start w:val="1"/>
      <w:pStyle w:val="Nagwek4"/>
      <w:numFmt w:val="decimal"/>
      <w:lvlText w:val="%1.%2.%3.%4"/>
      <w:lvlJc w:val="left"/>
      <w:pPr>
        <w:ind w:left="864" w:hanging="864"/>
      </w:pPr>
    </w:lvl>
    <w:lvl w:ilvl="4">
      <w:start w:val="1"/>
      <w:pStyle w:val="Nagwek5"/>
      <w:numFmt w:val="decimal"/>
      <w:lvlText w:val="%1.%2.%3.%4.%5"/>
      <w:lvlJc w:val="left"/>
      <w:pPr>
        <w:ind w:left="1008" w:hanging="1008"/>
      </w:pPr>
    </w:lvl>
    <w:lvl w:ilvl="5">
      <w:start w:val="1"/>
      <w:pStyle w:val="Nagwek6"/>
      <w:numFmt w:val="decimal"/>
      <w:lvlText w:val="%1.%2.%3.%4.%5.%6"/>
      <w:lvlJc w:val="left"/>
      <w:pPr>
        <w:ind w:left="1152" w:hanging="1152"/>
      </w:pPr>
    </w:lvl>
    <w:lvl w:ilvl="6">
      <w:start w:val="1"/>
      <w:pStyle w:val="Nagwek7"/>
      <w:numFmt w:val="decimal"/>
      <w:lvlText w:val="%1.%2.%3.%4.%5.%6.%7"/>
      <w:lvlJc w:val="left"/>
      <w:pPr>
        <w:ind w:left="1296" w:hanging="1296"/>
      </w:pPr>
    </w:lvl>
    <w:lvl w:ilvl="7">
      <w:start w:val="1"/>
      <w:pStyle w:val="Nagwek8"/>
      <w:numFmt w:val="decimal"/>
      <w:lvlText w:val="%1.%2.%3.%4.%5.%6.%7.%8"/>
      <w:lvlJc w:val="left"/>
      <w:pPr>
        <w:ind w:left="1440" w:hanging="1440"/>
      </w:pPr>
    </w:lvl>
    <w:lvl w:ilvl="8">
      <w:start w:val="1"/>
      <w:pStyle w:val="Nagwek9"/>
      <w:numFmt w:val="decimal"/>
      <w:lvlText w:val="%1.%2.%3.%4.%5.%6.%7.%8.%9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6acf"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37b67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1f009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1f009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1f009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1f009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1f009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1f009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1f009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Cs w:val="20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1f009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f0098"/>
    <w:rPr>
      <w:b/>
      <w:bCs/>
      <w:color w:val="000000" w:themeColor="text1"/>
    </w:rPr>
  </w:style>
  <w:style w:type="character" w:styleId="Czeinternetowe">
    <w:name w:val="Łącze internetowe"/>
    <w:uiPriority w:val="99"/>
    <w:unhideWhenUsed/>
    <w:rsid w:val="00a46518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7b67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36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color w:val="000000" w:themeColor="text1"/>
      <w:sz w:val="20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1f0098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000000" w:themeColor="text1"/>
      <w:sz w:val="2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z w:val="2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323E4F" w:themeColor="text2" w:themeShade="bf"/>
      <w:sz w:val="2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1f0098"/>
    <w:rPr>
      <w:rFonts w:ascii="Calibri Light" w:hAnsi="Calibri Light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1f0098"/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1f0098"/>
    <w:rPr>
      <w:color w:val="5A5A5A" w:themeColor="text1" w:themeTint="a5"/>
      <w:spacing w:val="10"/>
    </w:rPr>
  </w:style>
  <w:style w:type="character" w:styleId="Wyrnienie">
    <w:name w:val="Wyróżnienie"/>
    <w:basedOn w:val="DefaultParagraphFont"/>
    <w:uiPriority w:val="20"/>
    <w:qFormat/>
    <w:rsid w:val="001f0098"/>
    <w:rPr>
      <w:i/>
      <w:iCs/>
      <w:color w:val="auto"/>
    </w:rPr>
  </w:style>
  <w:style w:type="character" w:styleId="CytatZnak" w:customStyle="1">
    <w:name w:val="Cytat Znak"/>
    <w:basedOn w:val="DefaultParagraphFont"/>
    <w:link w:val="Cytat"/>
    <w:uiPriority w:val="29"/>
    <w:qFormat/>
    <w:rsid w:val="001f0098"/>
    <w:rPr>
      <w:i/>
      <w:iCs/>
      <w:color w:val="000000" w:themeColor="text1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1f009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1f009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f009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f009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1f009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f0098"/>
    <w:rPr>
      <w:b w:val="false"/>
      <w:bCs w:val="false"/>
      <w:smallCaps/>
      <w:spacing w:val="5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1f477f"/>
    <w:rPr>
      <w:rFonts w:ascii="Times New Roman" w:hAnsi="Times New Roman" w:eastAsia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13737"/>
    <w:rPr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13737"/>
    <w:rPr>
      <w:sz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1f477f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4651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098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"/>
    <w:next w:val="Normal"/>
    <w:link w:val="TytuZnak"/>
    <w:uiPriority w:val="10"/>
    <w:qFormat/>
    <w:rsid w:val="001f009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1f009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80606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2"/>
      <w:lang w:val="pl-PL" w:eastAsia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1f009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1f009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TOCHeading">
    <w:name w:val="TOC Heading"/>
    <w:basedOn w:val="Nagwek1"/>
    <w:next w:val="Normal"/>
    <w:uiPriority w:val="39"/>
    <w:unhideWhenUsed/>
    <w:qFormat/>
    <w:rsid w:val="001f0098"/>
    <w:pPr>
      <w:numPr>
        <w:ilvl w:val="0"/>
        <w:numId w:val="0"/>
      </w:numPr>
    </w:pPr>
    <w:rPr/>
  </w:style>
  <w:style w:type="paragraph" w:styleId="Spistreci1">
    <w:name w:val="TOC 1"/>
    <w:basedOn w:val="Normal"/>
    <w:next w:val="Normal"/>
    <w:autoRedefine/>
    <w:uiPriority w:val="39"/>
    <w:unhideWhenUsed/>
    <w:rsid w:val="001f0098"/>
    <w:pPr>
      <w:spacing w:before="0" w:after="100"/>
    </w:pPr>
    <w:rPr/>
  </w:style>
  <w:style w:type="paragraph" w:styleId="Spistreci2">
    <w:name w:val="TOC 2"/>
    <w:basedOn w:val="Normal"/>
    <w:next w:val="Normal"/>
    <w:autoRedefine/>
    <w:uiPriority w:val="39"/>
    <w:unhideWhenUsed/>
    <w:rsid w:val="004201bb"/>
    <w:pPr>
      <w:spacing w:before="0" w:after="100"/>
      <w:ind w:left="220" w:hanging="0"/>
    </w:pPr>
    <w:rPr/>
  </w:style>
  <w:style w:type="paragraph" w:styleId="ListParagraph">
    <w:name w:val="List Paragraph"/>
    <w:basedOn w:val="Normal"/>
    <w:uiPriority w:val="34"/>
    <w:qFormat/>
    <w:rsid w:val="005b1075"/>
    <w:pPr>
      <w:spacing w:before="0" w:after="160"/>
      <w:ind w:left="720" w:hanging="0"/>
      <w:contextualSpacing/>
    </w:pPr>
    <w:rPr/>
  </w:style>
  <w:style w:type="paragraph" w:styleId="Srodkiochpkt" w:customStyle="1">
    <w:name w:val="srodkiochpkt"/>
    <w:basedOn w:val="Normal"/>
    <w:qFormat/>
    <w:rsid w:val="001f477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Uptopis" w:customStyle="1">
    <w:name w:val="up_t_opis"/>
    <w:basedOn w:val="Normal"/>
    <w:qFormat/>
    <w:rsid w:val="000c6c38"/>
    <w:pPr>
      <w:suppressAutoHyphens w:val="true"/>
      <w:spacing w:lineRule="exact" w:line="300" w:before="0" w:after="0"/>
      <w:ind w:left="57" w:right="57" w:hanging="0"/>
    </w:pPr>
    <w:rPr>
      <w:rFonts w:ascii="Arial" w:hAnsi="Arial" w:eastAsia="Times New Roman" w:cs="Arial"/>
      <w:kern w:val="2"/>
      <w:sz w:val="16"/>
      <w:szCs w:val="20"/>
      <w:lang w:eastAsia="zh-CN"/>
    </w:rPr>
  </w:style>
  <w:style w:type="paragraph" w:styleId="Gwka">
    <w:name w:val="Header"/>
    <w:basedOn w:val="Normal"/>
    <w:link w:val="NagwekZnak"/>
    <w:uiPriority w:val="99"/>
    <w:unhideWhenUsed/>
    <w:rsid w:val="005137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1373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6400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184A8-4ED2-41F1-AB13-A28A5EFD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LibreOffice/6.2.8.2$Windows_x86 LibreOffice_project/f82ddfca21ebc1e222a662a32b25c0c9d20169ee</Application>
  <Pages>8</Pages>
  <Words>2257</Words>
  <Characters>15298</Characters>
  <CharactersWithSpaces>17325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2018-06-26T07:06:00Z</dcterms:created>
  <dc:creator>Zontek i Wspólnicy Sp.k.</dc:creator>
  <dc:description/>
  <dc:language>pl-PL</dc:language>
  <cp:lastModifiedBy>Katarzyna Boszko</cp:lastModifiedBy>
  <dcterms:modified xsi:type="dcterms:W3CDTF">2020-03-26T15:21:06Z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